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A6" w:rsidRDefault="001B0C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0CA6" w:rsidRDefault="001B0CA6">
      <w:pPr>
        <w:pStyle w:val="ConsPlusNormal"/>
        <w:jc w:val="both"/>
        <w:outlineLvl w:val="0"/>
      </w:pPr>
    </w:p>
    <w:p w:rsidR="001B0CA6" w:rsidRDefault="001B0CA6">
      <w:pPr>
        <w:pStyle w:val="ConsPlusTitle"/>
        <w:jc w:val="center"/>
        <w:outlineLvl w:val="0"/>
      </w:pPr>
      <w:r>
        <w:t>АДМИНИСТРАЦИЯ ГОРОДА ТВЕРИ</w:t>
      </w:r>
    </w:p>
    <w:p w:rsidR="001B0CA6" w:rsidRDefault="001B0CA6">
      <w:pPr>
        <w:pStyle w:val="ConsPlusTitle"/>
        <w:jc w:val="both"/>
      </w:pPr>
    </w:p>
    <w:p w:rsidR="001B0CA6" w:rsidRDefault="001B0CA6">
      <w:pPr>
        <w:pStyle w:val="ConsPlusTitle"/>
        <w:jc w:val="center"/>
      </w:pPr>
      <w:r>
        <w:t>ПОСТАНОВЛЕНИЕ</w:t>
      </w:r>
    </w:p>
    <w:p w:rsidR="001B0CA6" w:rsidRDefault="001B0CA6">
      <w:pPr>
        <w:pStyle w:val="ConsPlusTitle"/>
        <w:jc w:val="center"/>
      </w:pPr>
      <w:r>
        <w:t>от 10 октября 2019 г. N 1237</w:t>
      </w:r>
    </w:p>
    <w:p w:rsidR="001B0CA6" w:rsidRDefault="001B0CA6">
      <w:pPr>
        <w:pStyle w:val="ConsPlusTitle"/>
        <w:jc w:val="both"/>
      </w:pPr>
    </w:p>
    <w:p w:rsidR="001B0CA6" w:rsidRDefault="001B0CA6">
      <w:pPr>
        <w:pStyle w:val="ConsPlusTitle"/>
        <w:jc w:val="center"/>
      </w:pPr>
      <w:r>
        <w:t>ОБ УТВЕРЖДЕНИИ ТРЕБОВАНИЙ К МЕСТОРАСПОЛОЖЕНИЮ</w:t>
      </w:r>
    </w:p>
    <w:p w:rsidR="001B0CA6" w:rsidRDefault="001B0CA6">
      <w:pPr>
        <w:pStyle w:val="ConsPlusTitle"/>
        <w:jc w:val="center"/>
      </w:pPr>
      <w:r>
        <w:t>И ПАРАМЕТРАМ ИНФОРМАЦИОННЫХ КОНСТРУКЦИЙ НА ТЕРРИТОРИЯХ</w:t>
      </w:r>
    </w:p>
    <w:p w:rsidR="001B0CA6" w:rsidRDefault="001B0CA6">
      <w:pPr>
        <w:pStyle w:val="ConsPlusTitle"/>
        <w:jc w:val="center"/>
      </w:pPr>
      <w:r>
        <w:t>ОСОБОГО ГОРОДСКОГО ЗНАЧЕНИЯ ГОРОДА ТВЕРИ</w:t>
      </w:r>
    </w:p>
    <w:p w:rsidR="001B0CA6" w:rsidRDefault="001B0C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C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CA6" w:rsidRDefault="001B0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CA6" w:rsidRDefault="001B0C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Твери от 19.01.2021 </w:t>
            </w:r>
            <w:hyperlink r:id="rId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1B0CA6" w:rsidRDefault="001B0C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6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</w:tr>
    </w:tbl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города Твери, в соответствии с </w:t>
      </w:r>
      <w:hyperlink r:id="rId8">
        <w:r>
          <w:rPr>
            <w:color w:val="0000FF"/>
          </w:rPr>
          <w:t>пунктом 2.8</w:t>
        </w:r>
      </w:hyperlink>
      <w:r>
        <w:t xml:space="preserve"> Правил благоустройства города Твери, утвержденных решением Тверской городской Думы от 16.10.2014 N 368,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06.06.2019 N 584 "Об утверждении перечня территорий особого городского значения города Твери", постановляю: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требования</w:t>
        </w:r>
      </w:hyperlink>
      <w:r>
        <w:t xml:space="preserve"> к местоположению и параметрам информационных конструкций на территориях особого городского значения города Твери (прилагаются).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2. Информационные конструкции, размещенные на территориях особого городского значения города Твери до вступления в силу настоящего Постановления, должны быть приведены в соответствие с утвержденными настоящим Постановлением требованиями до 25 сентября 2021 года.</w:t>
      </w:r>
    </w:p>
    <w:p w:rsidR="001B0CA6" w:rsidRDefault="001B0CA6">
      <w:pPr>
        <w:pStyle w:val="ConsPlusNormal"/>
        <w:jc w:val="both"/>
      </w:pPr>
      <w:r>
        <w:t xml:space="preserve">(в ред. Постановлений Администрации города Твери от 19.01.2021 </w:t>
      </w:r>
      <w:hyperlink r:id="rId10">
        <w:r>
          <w:rPr>
            <w:color w:val="0000FF"/>
          </w:rPr>
          <w:t>N 28</w:t>
        </w:r>
      </w:hyperlink>
      <w:r>
        <w:t xml:space="preserve">, от 03.06.2021 </w:t>
      </w:r>
      <w:hyperlink r:id="rId11">
        <w:r>
          <w:rPr>
            <w:color w:val="0000FF"/>
          </w:rPr>
          <w:t>N 591</w:t>
        </w:r>
      </w:hyperlink>
      <w:r>
        <w:t>)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right"/>
      </w:pPr>
      <w:r>
        <w:t>Глава города Твери</w:t>
      </w:r>
    </w:p>
    <w:p w:rsidR="001B0CA6" w:rsidRDefault="001B0CA6">
      <w:pPr>
        <w:pStyle w:val="ConsPlusNormal"/>
        <w:jc w:val="right"/>
      </w:pPr>
      <w:r>
        <w:t>А.В.ОГОНЬКОВ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right"/>
        <w:outlineLvl w:val="0"/>
      </w:pPr>
      <w:r>
        <w:t>Приложение</w:t>
      </w:r>
    </w:p>
    <w:p w:rsidR="001B0CA6" w:rsidRDefault="001B0CA6">
      <w:pPr>
        <w:pStyle w:val="ConsPlusNormal"/>
        <w:jc w:val="right"/>
      </w:pPr>
      <w:r>
        <w:t>к Постановлению Администрации</w:t>
      </w:r>
    </w:p>
    <w:p w:rsidR="001B0CA6" w:rsidRDefault="001B0CA6">
      <w:pPr>
        <w:pStyle w:val="ConsPlusNormal"/>
        <w:jc w:val="right"/>
      </w:pPr>
      <w:r>
        <w:t>города Твери</w:t>
      </w:r>
    </w:p>
    <w:p w:rsidR="001B0CA6" w:rsidRDefault="001B0CA6">
      <w:pPr>
        <w:pStyle w:val="ConsPlusNormal"/>
        <w:jc w:val="right"/>
      </w:pPr>
      <w:r>
        <w:t>от 10 октября 2019 г. N 1237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1B0CA6" w:rsidRDefault="001B0CA6">
      <w:pPr>
        <w:pStyle w:val="ConsPlusTitle"/>
        <w:jc w:val="center"/>
      </w:pPr>
      <w:r>
        <w:t>к месторасположению и параметрам информационных конструкций</w:t>
      </w:r>
    </w:p>
    <w:p w:rsidR="001B0CA6" w:rsidRDefault="001B0CA6">
      <w:pPr>
        <w:pStyle w:val="ConsPlusTitle"/>
        <w:jc w:val="center"/>
      </w:pPr>
      <w:r>
        <w:t>на территориях особого городского значения города Твери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1. Общие положения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1.1. Настоящие требования приняты в целях упорядочивания размещения информационных конструкций, формирования качественной архитектурно-художественной городской среды и целостности зданий, строений и сооружений на территориях особого городского значения города Твери.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1.2. На территориях особого городского значения города Твери допускается размещать следующие типы информационных конструкций: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из отдельных букв и символов (объемные или плоские) без подложки;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консольные с подложкой или без подложки;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общий указатель (информационная табличка);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lastRenderedPageBreak/>
        <w:t>- витринные постоянные из отдельных букв и символов (объемные или плоские) без подложки;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временные витринные.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1.3. Размещение информационных конструкций на внешних поверхностях нежилых зданий, строений, сооружений, расположенных на территориях особого городского значения города Твери, осуществляется в соответствии с Концепцией размещения информационных конструкций (далее - Концепция), согласованной с департаментом архитектуры и градостроительства администрации города Твери.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Требования к Концепции и порядок ее согласования утверждаются постановлением Администрации города Твери.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2. Требования к информационным конструкциям из отдельных</w:t>
      </w:r>
    </w:p>
    <w:p w:rsidR="001B0CA6" w:rsidRDefault="001B0CA6">
      <w:pPr>
        <w:pStyle w:val="ConsPlusTitle"/>
        <w:jc w:val="center"/>
      </w:pPr>
      <w:r>
        <w:t>букв и символов (объемные или плоские) без подложки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2.1. Допустимые параметры отдельных букв и символов, а также логотипов: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высота букв и символов до 0,5 м; толщина до 0,15 м (для объемных букв);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высота логотипа до 0,75 м, ширина до 0,75 м, толщина до 0,15 м (для объемных логотипов).</w:t>
      </w:r>
    </w:p>
    <w:p w:rsidR="001B0CA6" w:rsidRDefault="001B0C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C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CA6" w:rsidRDefault="001B0CA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0CA6" w:rsidRDefault="001B0CA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CA6" w:rsidRDefault="001B0CA6">
            <w:pPr>
              <w:pStyle w:val="ConsPlusNormal"/>
            </w:pPr>
          </w:p>
        </w:tc>
      </w:tr>
    </w:tbl>
    <w:p w:rsidR="001B0CA6" w:rsidRDefault="001B0CA6">
      <w:pPr>
        <w:pStyle w:val="ConsPlusNormal"/>
        <w:spacing w:before="260"/>
        <w:ind w:firstLine="540"/>
        <w:jc w:val="both"/>
      </w:pPr>
      <w:r>
        <w:t>2.3. Длина информационной конструкции: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без логотипа или с одним логотипом до 3,0 м;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с двумя логотипами (в начале и в конце) до 5 м;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с одним логотипом и двумя названиями до 10 м.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2.4. Объемная или плоская информационная конструкция из отдельных букв и символов без подложки может быть световой и несветовой. Несветовая информационная конструкция может быть подсвечена внешней подсветкой.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2.5. Информационную конструкцию из плоских отдельных букв и символов необходимо размещать на расстоянии от плоскости фасада здания, строения, сооружения для создания падающей тени от информационной конструкции.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2.6. Для объемных и плоских информационных конструкций из отдельных букв и символов без подложки запрещается использовать яркие цвета (за исключением товарных знаков и знаков обслуживания, зарегистрированных в установленном порядке).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3. Требования к консольным информационным конструкциям</w:t>
      </w:r>
    </w:p>
    <w:p w:rsidR="001B0CA6" w:rsidRDefault="001B0CA6">
      <w:pPr>
        <w:pStyle w:val="ConsPlusTitle"/>
        <w:jc w:val="center"/>
      </w:pPr>
      <w:r>
        <w:t>с подложкой и без подложки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3.1. Консольные информационные конструкции (далее - консоли) должны располагаться перпендикулярно под углом 90 градусов к плоскости фасада здания, строения, сооружения.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3.2. Консоли могут быть объемными или объемно-сквозными и плоскими или плоско-сквозными.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3.3. Допустимые параметры консолей: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высота до 0,50 м; ширина до 0,50 м; толщина до 0,12 м (для объемных консолей).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3.4. Допустимые способы крепления консолей: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подвесное - расстояние от плоскости фасада здания, строения, сооружения до консоли не более 0,15 м;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 xml:space="preserve">- на консольных держателях - расстояние от плоскости фасада здания, строения, сооружения </w:t>
      </w:r>
      <w:r>
        <w:lastRenderedPageBreak/>
        <w:t>до консоли не более 0,10 м.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Не допускается крепить консоль непосредственно на фасад здания, строения, сооружения.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3.5. Нижний край консоли размещается не ниже 2,5 м относительно тротуара.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3.6. Размещение нескольких консолей на фасаде здания, строения, сооружения допускается только на одной высотной отметке относительно архитектурных элементов фасада. Расстояние между ближайшими консолями не менее 10,0 м.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3.7. На консолях запрещается: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размещать иную информацию, кроме названия, логотипа, товарного знака и знака обслуживания, подстрочника, указывающего сферу деятельности;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размещать информацию больше чем в 3 уровнях;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применять неоднородный фон (за исключением размещения товарных знаков и знаков обслуживания, зарегистрированных в установленном порядке);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устройство освещения консолей приборами динамической подсветки и мерцающего света;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размещать дублирующие консоли.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4. Требования к общим указателям (информационным табличкам)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4.1. Общий указатель (информационная табличка) (далее - общий указатель) может располагаться только у входной группы в здание, строение, сооружение. Допускается размещать общий указатель с обеих сторон входной группы, при этом информация на таких конструкциях не должна дублироваться.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4.2. Допустимые параметры общего указателя: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не более 0,60 м по горизонтали и 0,80 м по вертикали.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4.3. Буквы и символы на общем фоне указателя могут быть плоскими, объемными или сквозными.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4.4. Общий указатель не должен перекрывать архитектурные элементы фасада, за исключением рустованной поверхности фасада. В этом случае общий указатель должен перекрывать целое количество рустов или быть прозрачным.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4.5. Общий указатель должен иметь однородный цветовой фон нейтральных оттенков или фон в цвет фасада здания, строения, сооружения.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4.6. Допускается подсвечивать общий указатель внешней подсветкой.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5. Требования к витринным постоянным из отдельных букв</w:t>
      </w:r>
    </w:p>
    <w:p w:rsidR="001B0CA6" w:rsidRDefault="001B0CA6">
      <w:pPr>
        <w:pStyle w:val="ConsPlusTitle"/>
        <w:jc w:val="center"/>
      </w:pPr>
      <w:r>
        <w:t>и символов (объемные или плоские) без подложки конструкциям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5.1. Витринная постоянная из отдельных букв и символов (объемные или плоские) без подложки конструкция (далее - постоянная витринная конструкция) размещается в верхней части оконного проема с внутренней или внешней поверхности витрины.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5.2. Допустимые параметры постоянной витринной конструкции: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площадь, задействованная для размещения, - верхняя треть оконного проема или витрины;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- высота букв и символов до 0,20 м; толщина до 0,10 м (для объемных букв и символов).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5.3. Информация, размещаемая на постоянной витринной конструкции, должна располагаться в один уровень (ряд).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 xml:space="preserve">5.4. Для постоянной витринной конструкции запрещается использовать яркие цвета (за исключением организаций, которые имеют зарегистрированный в установленном порядке </w:t>
      </w:r>
      <w:r>
        <w:lastRenderedPageBreak/>
        <w:t>фирменный цвет шрифтовой композиции).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5.5. Объемная или плоская постоянная витринная конструкция может быть световой и несветовой. Несветовая витринная конструкция может быть подсвечена внешней подсветкой.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6. Требования к временной витринной конструкции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6.1. Временная витринная конструкция размещается на остекленной части оконного проема или витрины с внутренней или внешней поверхности.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6.2. Временная витринная конструкция предполагает размещение информации, надписей, витринное оформление.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Title"/>
        <w:jc w:val="center"/>
        <w:outlineLvl w:val="1"/>
      </w:pPr>
      <w:r>
        <w:t>7. Общие требования к шрифтам, используемым</w:t>
      </w:r>
    </w:p>
    <w:p w:rsidR="001B0CA6" w:rsidRDefault="001B0CA6">
      <w:pPr>
        <w:pStyle w:val="ConsPlusTitle"/>
        <w:jc w:val="center"/>
      </w:pPr>
      <w:r>
        <w:t>на информационных конструкциях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ind w:firstLine="540"/>
        <w:jc w:val="both"/>
      </w:pPr>
      <w:r>
        <w:t>7.1. Организациям, не имеющим зарегистрированного в установленном порядке товарного знака и знака обслуживания, необходимо использовать на информационных конструкциях антиквенные с засечками и гротескные без засечек шрифты.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7.2. Антиквенный шрифт с засечками необходимо использовать на исторических зданиях или современных зданиях, стилизованных под исторические.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7.3. Гротескный шрифт без засечек необходимо использовать на современных зданиях.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7.4. Прописные (заглавные) буквы необходимо набирать с разрядкой для лучшей читаемости.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7.5. Надписи, набранные строчными буквами, необходимо начинать с заглавной буквы, разрядка строчных букв не применяется.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7.6. Для шрифта необходимо применять прямое начертание.</w:t>
      </w:r>
    </w:p>
    <w:p w:rsidR="001B0CA6" w:rsidRDefault="001B0CA6">
      <w:pPr>
        <w:pStyle w:val="ConsPlusNormal"/>
        <w:spacing w:before="200"/>
        <w:ind w:firstLine="540"/>
        <w:jc w:val="both"/>
      </w:pPr>
      <w:r>
        <w:t>7.7. Искажение и деформация букв запрещаются.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right"/>
      </w:pPr>
      <w:r>
        <w:t>И.о. начальника департамента</w:t>
      </w:r>
    </w:p>
    <w:p w:rsidR="001B0CA6" w:rsidRDefault="001B0CA6">
      <w:pPr>
        <w:pStyle w:val="ConsPlusNormal"/>
        <w:jc w:val="right"/>
      </w:pPr>
      <w:r>
        <w:t>архитектуры и градостроительства</w:t>
      </w:r>
    </w:p>
    <w:p w:rsidR="001B0CA6" w:rsidRDefault="001B0CA6">
      <w:pPr>
        <w:pStyle w:val="ConsPlusNormal"/>
        <w:jc w:val="right"/>
      </w:pPr>
      <w:r>
        <w:t>администрации города Твери</w:t>
      </w:r>
    </w:p>
    <w:p w:rsidR="001B0CA6" w:rsidRDefault="001B0CA6">
      <w:pPr>
        <w:pStyle w:val="ConsPlusNormal"/>
        <w:jc w:val="right"/>
      </w:pPr>
      <w:r>
        <w:t>А.Е.ЖОГОЛЕВ</w:t>
      </w: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jc w:val="both"/>
      </w:pPr>
    </w:p>
    <w:p w:rsidR="001B0CA6" w:rsidRDefault="001B0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450" w:rsidRDefault="006E0450">
      <w:bookmarkStart w:id="1" w:name="_GoBack"/>
      <w:bookmarkEnd w:id="1"/>
    </w:p>
    <w:sectPr w:rsidR="006E0450" w:rsidSect="00D8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6"/>
    <w:rsid w:val="001B0CA6"/>
    <w:rsid w:val="006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97A6-AB72-4765-8CC6-8B2D7262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68D156141FE7CDB4926B7A02470ABE783A46840B6405E95382888A59BD3214DFC5D89FFD1CDB68FE35CD59B893FE7651CF863D3669559C76631ACz6a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968D156141FE7CDB4926B7A02470ABE783A46840B64354983A2888A59BD3214DFC5D89FFD1CDB68FE25CD09F893FE7651CF863D3669559C76631ACz6a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68D156141FE7CDB4926B7A02470ABE783A46840B7415190382888A59BD3214DFC5D89FFD1CDB68FE254D299893FE7651CF863D3669559C76631ACz6aFL" TargetMode="External"/><Relationship Id="rId11" Type="http://schemas.openxmlformats.org/officeDocument/2006/relationships/hyperlink" Target="consultantplus://offline/ref=87968D156141FE7CDB4926B7A02470ABE783A46840B7415190382888A59BD3214DFC5D89FFD1CDB68FE254D299893FE7651CF863D3669559C76631ACz6aFL" TargetMode="External"/><Relationship Id="rId5" Type="http://schemas.openxmlformats.org/officeDocument/2006/relationships/hyperlink" Target="consultantplus://offline/ref=87968D156141FE7CDB4926B7A02470ABE783A46840B7435791382888A59BD3214DFC5D89FFD1CDB68FE254D299893FE7651CF863D3669559C76631ACz6aFL" TargetMode="External"/><Relationship Id="rId10" Type="http://schemas.openxmlformats.org/officeDocument/2006/relationships/hyperlink" Target="consultantplus://offline/ref=87968D156141FE7CDB4926B7A02470ABE783A46840B7435791382888A59BD3214DFC5D89FFD1CDB68FE254D299893FE7651CF863D3669559C76631ACz6a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968D156141FE7CDB4926B7A02470ABE783A46840B74A5490332888A59BD3214DFC5D89EDD195BA8DEA4AD29E9C69B623z4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Циперман Жанна Владимировна</dc:creator>
  <cp:keywords/>
  <dc:description/>
  <cp:lastModifiedBy>Циперман Жанна Владимировна</cp:lastModifiedBy>
  <cp:revision>1</cp:revision>
  <dcterms:created xsi:type="dcterms:W3CDTF">2023-02-28T11:26:00Z</dcterms:created>
  <dcterms:modified xsi:type="dcterms:W3CDTF">2023-02-28T11:27:00Z</dcterms:modified>
</cp:coreProperties>
</file>